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1.png" ContentType="image/png"/>
  <Override PartName="/word/media/rId39.png" ContentType="image/png"/>
  <Override PartName="/word/media/rId42.png" ContentType="image/png"/>
  <Override PartName="/word/media/rId45.png" ContentType="image/png"/>
  <Override PartName="/word/media/rId55.png" ContentType="image/png"/>
  <Override PartName="/word/media/rId58.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67.png" ContentType="image/png"/>
  <Override PartName="/word/media/rId70.png" ContentType="image/png"/>
  <Override PartName="/word/media/rId93.png" ContentType="image/png"/>
  <Override PartName="/word/media/rId96.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5"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 https://github.com/Open-Systems-Pharmacology/Forum/discussions/1341, and thus the</w:t>
      </w:r>
      <w:r>
        <w:t xml:space="preserve"> </w:t>
      </w:r>
      <w:r>
        <w:t xml:space="preserve">“</w:t>
      </w:r>
      <w:r>
        <w:t xml:space="preserve">other organs</w:t>
      </w:r>
      <w:r>
        <w:t xml:space="preserve">”</w:t>
      </w:r>
      <w:r>
        <w:t xml:space="preserve"> </w:t>
      </w:r>
      <w:r>
        <w:t xml:space="preserve">blood flow varies slightly across individuals.</w:t>
      </w:r>
    </w:p>
    <w:bookmarkStart w:id="21"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 https://github.com/Open-Systems-Pharmacology/Forum/discussions/1341 were applied.</w:t>
      </w:r>
    </w:p>
    <w:bookmarkEnd w:id="21"/>
    <w:bookmarkStart w:id="22"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2"/>
    <w:bookmarkStart w:id="23"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3"/>
    <w:bookmarkStart w:id="24"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w:t>
      </w:r>
    </w:p>
    <w:bookmarkEnd w:id="24"/>
    <w:bookmarkEnd w:id="25"/>
    <w:bookmarkStart w:id="118"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6"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Alfenatanil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7"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6"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6"/>
    <w:bookmarkEnd w:id="27"/>
    <w:bookmarkStart w:id="35" w:name="alfentanil-in-a-hi-population"/>
    <w:p>
      <w:pPr>
        <w:pStyle w:val="Heading3"/>
      </w:pPr>
      <w:r>
        <w:t xml:space="preserve">Alfentanil in a HI Population</w:t>
      </w:r>
      <w:r>
        <w:t xml:space="preserve"> </w:t>
      </w:r>
      <w:bookmarkStart w:id="alfentanil_hi" w:name="alfentanil_hi"/>
      <w:bookmarkEnd w:id="alfentanil_hi"/>
    </w:p>
    <w:bookmarkStart w:id="34"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61403"/>
            <wp:effectExtent b="0" l="0" r="0" t="0"/>
            <wp:docPr descr="" title="" id="29" name="Picture"/>
            <a:graphic>
              <a:graphicData uri="http://schemas.openxmlformats.org/drawingml/2006/picture">
                <pic:pic>
                  <pic:nvPicPr>
                    <pic:cNvPr descr="images/003_section_undefined-section-3/004_section_undefined-section-4/006_section_Alfentanil_HI/1_time_profile_plot_Alfentanil_Ferrier1985_Child_Pugh_B.png" id="30" name="Picture"/>
                    <pic:cNvPicPr>
                      <a:picLocks noChangeArrowheads="1" noChangeAspect="1"/>
                    </pic:cNvPicPr>
                  </pic:nvPicPr>
                  <pic:blipFill>
                    <a:blip r:embed="rId28"/>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3-1: Ferrier 1985, Alfentanil IV 0.05 mg/kg</w:t>
      </w:r>
    </w:p>
    <w:p>
      <w:pPr>
        <w:pStyle w:val="BodyText"/>
      </w:pPr>
      <w:r>
        <w:t xml:space="preserve"> </w:t>
      </w:r>
    </w:p>
    <w:br w:type="page"/>
    <w:p>
      <w:pPr>
        <w:pStyle w:val="BodyText"/>
      </w:pPr>
      <w:bookmarkStart w:id="figure-3-2" w:name="figure-3-2"/>
      <w:bookmarkEnd w:id="figure-3-2"/>
    </w:p>
    <w:p>
      <w:pPr>
        <w:pStyle w:val="BodyText"/>
      </w:pPr>
      <w:r>
        <w:drawing>
          <wp:inline>
            <wp:extent cx="5969000" cy="6661403"/>
            <wp:effectExtent b="0" l="0" r="0" t="0"/>
            <wp:docPr descr="" title="" id="32" name="Picture"/>
            <a:graphic>
              <a:graphicData uri="http://schemas.openxmlformats.org/drawingml/2006/picture">
                <pic:pic>
                  <pic:nvPicPr>
                    <pic:cNvPr descr="images/003_section_undefined-section-3/004_section_undefined-section-4/006_section_Alfentanil_HI/2_time_profile_plot_Alfentanil_Ferrier1985_Child_Pugh_C.png" id="33" name="Picture"/>
                    <pic:cNvPicPr>
                      <a:picLocks noChangeArrowheads="1" noChangeAspect="1"/>
                    </pic:cNvPicPr>
                  </pic:nvPicPr>
                  <pic:blipFill>
                    <a:blip r:embed="rId31"/>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3-2: Ferrier 1985, Alfentanil IV 0.05 mg/kg</w:t>
      </w:r>
    </w:p>
    <w:p>
      <w:pPr>
        <w:pStyle w:val="BodyText"/>
      </w:pPr>
      <w:r>
        <w:t xml:space="preserve"> </w:t>
      </w:r>
    </w:p>
    <w:bookmarkEnd w:id="34"/>
    <w:bookmarkEnd w:id="35"/>
    <w:bookmarkEnd w:id="36"/>
    <w:bookmarkStart w:id="50"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8"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37"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disolve 50%, 90%, and 100% tablet strength, respectively (25).</w:t>
      </w:r>
    </w:p>
    <w:bookmarkEnd w:id="37"/>
    <w:bookmarkEnd w:id="38"/>
    <w:bookmarkStart w:id="49" w:name="levetiracetam-in-a-hi-population"/>
    <w:p>
      <w:pPr>
        <w:pStyle w:val="Heading3"/>
      </w:pPr>
      <w:r>
        <w:t xml:space="preserve">Levetiracetam in a HI Population</w:t>
      </w:r>
      <w:r>
        <w:t xml:space="preserve"> </w:t>
      </w:r>
      <w:bookmarkStart w:id="levetiracetam_hi" w:name="levetiracetam_hi"/>
      <w:bookmarkEnd w:id="levetiracetam_hi"/>
    </w:p>
    <w:bookmarkStart w:id="48"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183075"/>
            <wp:effectExtent b="0" l="0" r="0" t="0"/>
            <wp:docPr descr="" title="" id="40"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1" name="Picture"/>
                    <pic:cNvPicPr>
                      <a:picLocks noChangeArrowheads="1" noChangeAspect="1"/>
                    </pic:cNvPicPr>
                  </pic:nvPicPr>
                  <pic:blipFill>
                    <a:blip r:embed="rId3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3-3: Brockmoller 2005, Levetiracetam PO 1000mg</w:t>
      </w:r>
    </w:p>
    <w:p>
      <w:pPr>
        <w:pStyle w:val="BodyText"/>
      </w:pPr>
      <w:r>
        <w:t xml:space="preserve"> </w:t>
      </w:r>
    </w:p>
    <w:br w:type="page"/>
    <w:p>
      <w:pPr>
        <w:pStyle w:val="BodyText"/>
      </w:pPr>
      <w:bookmarkStart w:id="figure-3-4" w:name="figure-3-4"/>
      <w:bookmarkEnd w:id="figure-3-4"/>
    </w:p>
    <w:p>
      <w:pPr>
        <w:pStyle w:val="BodyText"/>
      </w:pPr>
      <w:r>
        <w:drawing>
          <wp:inline>
            <wp:extent cx="5969000" cy="4183075"/>
            <wp:effectExtent b="0" l="0" r="0" t="0"/>
            <wp:docPr descr="" title="" id="43"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4" name="Picture"/>
                    <pic:cNvPicPr>
                      <a:picLocks noChangeArrowheads="1" noChangeAspect="1"/>
                    </pic:cNvPicPr>
                  </pic:nvPicPr>
                  <pic:blipFill>
                    <a:blip r:embed="rId42"/>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3-4: Brockmoller 2005, Levetiracetam PO 1000mg</w:t>
      </w:r>
    </w:p>
    <w:p>
      <w:pPr>
        <w:pStyle w:val="BodyText"/>
      </w:pPr>
      <w:r>
        <w:t xml:space="preserve"> </w:t>
      </w:r>
    </w:p>
    <w:br w:type="page"/>
    <w:p>
      <w:pPr>
        <w:pStyle w:val="BodyText"/>
      </w:pPr>
      <w:bookmarkStart w:id="figure-3-5" w:name="figure-3-5"/>
      <w:bookmarkEnd w:id="figure-3-5"/>
    </w:p>
    <w:p>
      <w:pPr>
        <w:pStyle w:val="BodyText"/>
      </w:pPr>
      <w:r>
        <w:drawing>
          <wp:inline>
            <wp:extent cx="5969000" cy="4183075"/>
            <wp:effectExtent b="0" l="0" r="0" t="0"/>
            <wp:docPr descr="" title="" id="46"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7" name="Picture"/>
                    <pic:cNvPicPr>
                      <a:picLocks noChangeArrowheads="1" noChangeAspect="1"/>
                    </pic:cNvPicPr>
                  </pic:nvPicPr>
                  <pic:blipFill>
                    <a:blip r:embed="rId45"/>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3-5: Brockmoller 2005, Levetiracetam PO 1000mg</w:t>
      </w:r>
    </w:p>
    <w:p>
      <w:pPr>
        <w:pStyle w:val="BodyText"/>
      </w:pPr>
      <w:r>
        <w:t xml:space="preserve"> </w:t>
      </w:r>
    </w:p>
    <w:bookmarkEnd w:id="48"/>
    <w:bookmarkEnd w:id="49"/>
    <w:bookmarkEnd w:id="50"/>
    <w:bookmarkStart w:id="63" w:name="metoprolol"/>
    <w:p>
      <w:pPr>
        <w:pStyle w:val="Heading2"/>
      </w:pPr>
      <w:r>
        <w:t xml:space="preserve">Metoprolol</w:t>
      </w:r>
      <w:r>
        <w:t xml:space="preserve"> </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3" w:name="metoprolol-in-a-healthy-population"/>
    <w:p>
      <w:pPr>
        <w:pStyle w:val="Heading3"/>
      </w:pPr>
      <w:r>
        <w:t xml:space="preserve">Metoprolol in a Healthy Population</w:t>
      </w:r>
      <w:r>
        <w:t xml:space="preserve"> </w:t>
      </w:r>
      <w:bookmarkStart w:id="metoprolol_healthy" w:name="metoprolol_healthy"/>
      <w:bookmarkEnd w:id="metoprolol_healthy"/>
    </w:p>
    <w:bookmarkStart w:id="51"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1"/>
    <w:bookmarkStart w:id="52"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tartate tablet described by a Weibull distribution with dissolution half-tim of 12.31 min and shape 0.72.</w:t>
      </w:r>
    </w:p>
    <w:bookmarkEnd w:id="52"/>
    <w:bookmarkEnd w:id="53"/>
    <w:bookmarkStart w:id="62" w:name="metoprolol-in-a-hi-population"/>
    <w:p>
      <w:pPr>
        <w:pStyle w:val="Heading3"/>
      </w:pPr>
      <w:r>
        <w:t xml:space="preserve">Metoprolol in a HI Population</w:t>
      </w:r>
      <w:r>
        <w:t xml:space="preserve"> </w:t>
      </w:r>
      <w:bookmarkStart w:id="metoprolol_hi" w:name="metoprolol_hi"/>
      <w:bookmarkEnd w:id="metoprolol_hi"/>
    </w:p>
    <w:bookmarkStart w:id="54"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variabls were reported to fully assess Child-Pugh status. Based on the clinical variables that were reportd,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4"/>
    <w:bookmarkStart w:id="61"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183075"/>
            <wp:effectExtent b="0" l="0" r="0" t="0"/>
            <wp:docPr descr="" title="" id="56" name="Picture"/>
            <a:graphic>
              <a:graphicData uri="http://schemas.openxmlformats.org/drawingml/2006/picture">
                <pic:pic>
                  <pic:nvPicPr>
                    <pic:cNvPr descr="images/003_section_undefined-section-3/010_section_undefined-section-10/012_section_Metoprolol_HI/6_time_profile_plot_Metoprolol_Regardh1981_CPA_PO_Population.png" id="57" name="Picture"/>
                    <pic:cNvPicPr>
                      <a:picLocks noChangeArrowheads="1" noChangeAspect="1"/>
                    </pic:cNvPicPr>
                  </pic:nvPicPr>
                  <pic:blipFill>
                    <a:blip r:embed="rId55"/>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3-6: Regardh 1981, Metoprolol tartate PO 50mg</w:t>
      </w:r>
    </w:p>
    <w:p>
      <w:pPr>
        <w:pStyle w:val="BodyText"/>
      </w:pPr>
      <w:r>
        <w:t xml:space="preserve"> </w:t>
      </w:r>
    </w:p>
    <w:br w:type="page"/>
    <w:p>
      <w:pPr>
        <w:pStyle w:val="BodyText"/>
      </w:pPr>
      <w:bookmarkStart w:id="figure-3-7" w:name="figure-3-7"/>
      <w:bookmarkEnd w:id="figure-3-7"/>
    </w:p>
    <w:p>
      <w:pPr>
        <w:pStyle w:val="BodyText"/>
      </w:pPr>
      <w:r>
        <w:drawing>
          <wp:inline>
            <wp:extent cx="5969000" cy="4183075"/>
            <wp:effectExtent b="0" l="0" r="0" t="0"/>
            <wp:docPr descr="" title="" id="59" name="Picture"/>
            <a:graphic>
              <a:graphicData uri="http://schemas.openxmlformats.org/drawingml/2006/picture">
                <pic:pic>
                  <pic:nvPicPr>
                    <pic:cNvPr descr="images/003_section_undefined-section-3/010_section_undefined-section-10/012_section_Metoprolol_HI/7_time_profile_plot_Metoprolol_Regardh1981_CPB_PO_Population.png" id="60" name="Picture"/>
                    <pic:cNvPicPr>
                      <a:picLocks noChangeArrowheads="1" noChangeAspect="1"/>
                    </pic:cNvPicPr>
                  </pic:nvPicPr>
                  <pic:blipFill>
                    <a:blip r:embed="rId58"/>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1"/>
    <w:bookmarkEnd w:id="62"/>
    <w:bookmarkEnd w:id="63"/>
    <w:bookmarkStart w:id="90" w:name="midazolam"/>
    <w:p>
      <w:pPr>
        <w:pStyle w:val="Heading2"/>
      </w:pPr>
      <w:r>
        <w:t xml:space="preserve">Midazolam</w:t>
      </w:r>
      <w:r>
        <w:t xml:space="preserve"> </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5" w:name="midazolam-in-a-healthy-population"/>
    <w:p>
      <w:pPr>
        <w:pStyle w:val="Heading3"/>
      </w:pPr>
      <w:r>
        <w:t xml:space="preserve">Midazolam in a Healthy Population</w:t>
      </w:r>
      <w:r>
        <w:t xml:space="preserve"> </w:t>
      </w:r>
      <w:bookmarkStart w:id="midazolam_healthy" w:name="midazolam_healthy"/>
      <w:bookmarkEnd w:id="midazolam_healthy"/>
    </w:p>
    <w:bookmarkStart w:id="64"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4"/>
    <w:bookmarkEnd w:id="65"/>
    <w:bookmarkStart w:id="89" w:name="midazolam-in-a-hi-population"/>
    <w:p>
      <w:pPr>
        <w:pStyle w:val="Heading3"/>
      </w:pPr>
      <w:r>
        <w:t xml:space="preserve">Midazolam in a HI Population</w:t>
      </w:r>
      <w:r>
        <w:t xml:space="preserve"> </w:t>
      </w:r>
      <w:bookmarkStart w:id="midazolam_hi" w:name="midazolam_hi"/>
      <w:bookmarkEnd w:id="midazolam_hi"/>
    </w:p>
    <w:bookmarkStart w:id="66"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6"/>
    <w:bookmarkStart w:id="88"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183075"/>
            <wp:effectExtent b="0" l="0" r="0" t="0"/>
            <wp:docPr descr="" title="" id="68" name="Picture"/>
            <a:graphic>
              <a:graphicData uri="http://schemas.openxmlformats.org/drawingml/2006/picture">
                <pic:pic>
                  <pic:nvPicPr>
                    <pic:cNvPr descr="images/003_section_undefined-section-3/013_section_undefined-section-13/015_section_Midazolam_HI/8_time_profile_plot_Midazolam_Macgilchrist1986_CPA_Population.png" id="69" name="Picture"/>
                    <pic:cNvPicPr>
                      <a:picLocks noChangeArrowheads="1" noChangeAspect="1"/>
                    </pic:cNvPicPr>
                  </pic:nvPicPr>
                  <pic:blipFill>
                    <a:blip r:embed="rId67"/>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3-8: Macgilchrist 1986, Midazolam IV 0.075 mg/kg</w:t>
      </w:r>
    </w:p>
    <w:p>
      <w:pPr>
        <w:pStyle w:val="BodyText"/>
      </w:pPr>
      <w:r>
        <w:t xml:space="preserve"> </w:t>
      </w:r>
    </w:p>
    <w:br w:type="page"/>
    <w:p>
      <w:pPr>
        <w:pStyle w:val="BodyText"/>
      </w:pPr>
      <w:bookmarkStart w:id="figure-3-9" w:name="figure-3-9"/>
      <w:bookmarkEnd w:id="figure-3-9"/>
    </w:p>
    <w:p>
      <w:pPr>
        <w:pStyle w:val="BodyText"/>
      </w:pPr>
      <w:r>
        <w:drawing>
          <wp:inline>
            <wp:extent cx="5969000" cy="4183075"/>
            <wp:effectExtent b="0" l="0" r="0" t="0"/>
            <wp:docPr descr="" title="" id="71" name="Picture"/>
            <a:graphic>
              <a:graphicData uri="http://schemas.openxmlformats.org/drawingml/2006/picture">
                <pic:pic>
                  <pic:nvPicPr>
                    <pic:cNvPr descr="images/003_section_undefined-section-3/013_section_undefined-section-13/015_section_Midazolam_HI/9_time_profile_plot_Midazolam_Macgilchrist1986_CPB_Population.png" id="72" name="Picture"/>
                    <pic:cNvPicPr>
                      <a:picLocks noChangeArrowheads="1" noChangeAspect="1"/>
                    </pic:cNvPicPr>
                  </pic:nvPicPr>
                  <pic:blipFill>
                    <a:blip r:embed="rId70"/>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3-9: Macgilchrist 1986, Midazolam IV 0.075 mg/kg</w:t>
      </w:r>
    </w:p>
    <w:p>
      <w:pPr>
        <w:pStyle w:val="BodyText"/>
      </w:pPr>
      <w:r>
        <w:t xml:space="preserve"> </w:t>
      </w:r>
    </w:p>
    <w:br w:type="page"/>
    <w:p>
      <w:pPr>
        <w:pStyle w:val="BodyText"/>
      </w:pPr>
      <w:bookmarkStart w:id="figure-3-10" w:name="figure-3-10"/>
      <w:bookmarkEnd w:id="figure-3-10"/>
    </w:p>
    <w:p>
      <w:pPr>
        <w:pStyle w:val="BodyText"/>
      </w:pPr>
      <w:r>
        <w:drawing>
          <wp:inline>
            <wp:extent cx="5969000" cy="4183075"/>
            <wp:effectExtent b="0" l="0" r="0" t="0"/>
            <wp:docPr descr="" title="" id="74" name="Picture"/>
            <a:graphic>
              <a:graphicData uri="http://schemas.openxmlformats.org/drawingml/2006/picture">
                <pic:pic>
                  <pic:nvPicPr>
                    <pic:cNvPr descr="images/003_section_undefined-section-3/013_section_undefined-section-13/015_section_Midazolam_HI/10_time_profile_plot_Midazolam_Macgilchrist1986_CPC_Population.png" id="75" name="Picture"/>
                    <pic:cNvPicPr>
                      <a:picLocks noChangeArrowheads="1" noChangeAspect="1"/>
                    </pic:cNvPicPr>
                  </pic:nvPicPr>
                  <pic:blipFill>
                    <a:blip r:embed="rId7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3-10: Macgilchrist 1986, Midazolam IV 0.075 mg/kg</w:t>
      </w:r>
    </w:p>
    <w:p>
      <w:pPr>
        <w:pStyle w:val="BodyText"/>
      </w:pPr>
      <w:r>
        <w:t xml:space="preserve"> </w:t>
      </w:r>
    </w:p>
    <w:br w:type="page"/>
    <w:p>
      <w:pPr>
        <w:pStyle w:val="BodyText"/>
      </w:pPr>
      <w:bookmarkStart w:id="figure-3-11" w:name="figure-3-11"/>
      <w:bookmarkEnd w:id="figure-3-11"/>
    </w:p>
    <w:p>
      <w:pPr>
        <w:pStyle w:val="BodyText"/>
      </w:pPr>
      <w:r>
        <w:drawing>
          <wp:inline>
            <wp:extent cx="5969000" cy="4183075"/>
            <wp:effectExtent b="0" l="0" r="0" t="0"/>
            <wp:docPr descr="" title="" id="77" name="Picture"/>
            <a:graphic>
              <a:graphicData uri="http://schemas.openxmlformats.org/drawingml/2006/picture">
                <pic:pic>
                  <pic:nvPicPr>
                    <pic:cNvPr descr="images/003_section_undefined-section-3/013_section_undefined-section-13/015_section_Midazolam_HI/11_time_profile_plot_Midazolam_Pentikainen1989_IV_CPB_Population.png" id="78" name="Picture"/>
                    <pic:cNvPicPr>
                      <a:picLocks noChangeArrowheads="1" noChangeAspect="1"/>
                    </pic:cNvPicPr>
                  </pic:nvPicPr>
                  <pic:blipFill>
                    <a:blip r:embed="rId7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3-11: Pentikainen 1989, Midazolam IV 7.5 mg</w:t>
      </w:r>
    </w:p>
    <w:p>
      <w:pPr>
        <w:pStyle w:val="BodyText"/>
      </w:pPr>
      <w:r>
        <w:t xml:space="preserve"> </w:t>
      </w:r>
    </w:p>
    <w:br w:type="page"/>
    <w:p>
      <w:pPr>
        <w:pStyle w:val="BodyText"/>
      </w:pPr>
      <w:bookmarkStart w:id="figure-3-12" w:name="figure-3-12"/>
      <w:bookmarkEnd w:id="figure-3-12"/>
    </w:p>
    <w:p>
      <w:pPr>
        <w:pStyle w:val="BodyText"/>
      </w:pPr>
      <w:r>
        <w:drawing>
          <wp:inline>
            <wp:extent cx="5969000" cy="4183075"/>
            <wp:effectExtent b="0" l="0" r="0" t="0"/>
            <wp:docPr descr="" title="" id="80" name="Picture"/>
            <a:graphic>
              <a:graphicData uri="http://schemas.openxmlformats.org/drawingml/2006/picture">
                <pic:pic>
                  <pic:nvPicPr>
                    <pic:cNvPr descr="images/003_section_undefined-section-3/013_section_undefined-section-13/015_section_Midazolam_HI/12_time_profile_plot_Midazolam_Pentikainen1989_IV_CPC_Population.png" id="81" name="Picture"/>
                    <pic:cNvPicPr>
                      <a:picLocks noChangeArrowheads="1" noChangeAspect="1"/>
                    </pic:cNvPicPr>
                  </pic:nvPicPr>
                  <pic:blipFill>
                    <a:blip r:embed="rId7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3-12: Pentikainen 1989, Midazolam IV 7.5 mg</w:t>
      </w:r>
    </w:p>
    <w:p>
      <w:pPr>
        <w:pStyle w:val="BodyText"/>
      </w:pPr>
      <w:r>
        <w:t xml:space="preserve"> </w:t>
      </w:r>
    </w:p>
    <w:br w:type="page"/>
    <w:p>
      <w:pPr>
        <w:pStyle w:val="BodyText"/>
      </w:pPr>
      <w:bookmarkStart w:id="figure-3-13" w:name="figure-3-13"/>
      <w:bookmarkEnd w:id="figure-3-13"/>
    </w:p>
    <w:p>
      <w:pPr>
        <w:pStyle w:val="BodyText"/>
      </w:pPr>
      <w:r>
        <w:drawing>
          <wp:inline>
            <wp:extent cx="5969000" cy="4183075"/>
            <wp:effectExtent b="0" l="0" r="0" t="0"/>
            <wp:docPr descr="" title="" id="83" name="Picture"/>
            <a:graphic>
              <a:graphicData uri="http://schemas.openxmlformats.org/drawingml/2006/picture">
                <pic:pic>
                  <pic:nvPicPr>
                    <pic:cNvPr descr="images/003_section_undefined-section-3/013_section_undefined-section-13/015_section_Midazolam_HI/13_time_profile_plot_Midazolam_Pentikanen1889_PO_CPB_Population.png" id="84" name="Picture"/>
                    <pic:cNvPicPr>
                      <a:picLocks noChangeArrowheads="1" noChangeAspect="1"/>
                    </pic:cNvPicPr>
                  </pic:nvPicPr>
                  <pic:blipFill>
                    <a:blip r:embed="rId82"/>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3-13: Pentikainen 1989, Midazolam PO 15 mg</w:t>
      </w:r>
    </w:p>
    <w:p>
      <w:pPr>
        <w:pStyle w:val="BodyText"/>
      </w:pPr>
      <w:r>
        <w:t xml:space="preserve"> </w:t>
      </w:r>
    </w:p>
    <w:br w:type="page"/>
    <w:p>
      <w:pPr>
        <w:pStyle w:val="BodyText"/>
      </w:pPr>
      <w:bookmarkStart w:id="figure-3-14" w:name="figure-3-14"/>
      <w:bookmarkEnd w:id="figure-3-14"/>
    </w:p>
    <w:p>
      <w:pPr>
        <w:pStyle w:val="BodyText"/>
      </w:pPr>
      <w:r>
        <w:drawing>
          <wp:inline>
            <wp:extent cx="5969000" cy="4183075"/>
            <wp:effectExtent b="0" l="0" r="0" t="0"/>
            <wp:docPr descr="" title="" id="86" name="Picture"/>
            <a:graphic>
              <a:graphicData uri="http://schemas.openxmlformats.org/drawingml/2006/picture">
                <pic:pic>
                  <pic:nvPicPr>
                    <pic:cNvPr descr="images/003_section_undefined-section-3/013_section_undefined-section-13/015_section_Midazolam_HI/14_time_profile_plot_Midazolam_Pentikanen1889_PO_CPC_Population.png" id="87" name="Picture"/>
                    <pic:cNvPicPr>
                      <a:picLocks noChangeArrowheads="1" noChangeAspect="1"/>
                    </pic:cNvPicPr>
                  </pic:nvPicPr>
                  <pic:blipFill>
                    <a:blip r:embed="rId85"/>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3-14: Pentikainen 1989, Midazolam PO 15 mg</w:t>
      </w:r>
    </w:p>
    <w:p>
      <w:pPr>
        <w:pStyle w:val="BodyText"/>
      </w:pPr>
      <w:r>
        <w:t xml:space="preserve"> </w:t>
      </w:r>
    </w:p>
    <w:bookmarkEnd w:id="88"/>
    <w:bookmarkEnd w:id="89"/>
    <w:bookmarkEnd w:id="90"/>
    <w:bookmarkStart w:id="101" w:name="sildenafil"/>
    <w:p>
      <w:pPr>
        <w:pStyle w:val="Heading2"/>
      </w:pPr>
      <w:r>
        <w:t xml:space="preserve">Sildenafil</w:t>
      </w:r>
      <w:r>
        <w:t xml:space="preserve"> </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2" w:name="sildenafil-in-a-healthy-population"/>
    <w:p>
      <w:pPr>
        <w:pStyle w:val="Heading3"/>
      </w:pPr>
      <w:r>
        <w:t xml:space="preserve">Sildenafil in a Healthy Population</w:t>
      </w:r>
      <w:r>
        <w:t xml:space="preserve"> </w:t>
      </w:r>
      <w:bookmarkStart w:id="sildenafil_healthy" w:name="sildenafil_healthy"/>
      <w:bookmarkEnd w:id="sildenafil_healthy"/>
    </w:p>
    <w:bookmarkStart w:id="91"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1"/>
    <w:bookmarkEnd w:id="92"/>
    <w:bookmarkStart w:id="100" w:name="sildenafil-in-a-hi-population"/>
    <w:p>
      <w:pPr>
        <w:pStyle w:val="Heading3"/>
      </w:pPr>
      <w:r>
        <w:t xml:space="preserve">Sildenafil in a HI Population</w:t>
      </w:r>
      <w:r>
        <w:t xml:space="preserve"> </w:t>
      </w:r>
      <w:bookmarkStart w:id="sildenafil_hi" w:name="sildenafil_hi"/>
      <w:bookmarkEnd w:id="sildenafil_hi"/>
    </w:p>
    <w:bookmarkStart w:id="99"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183075"/>
            <wp:effectExtent b="0" l="0" r="0" t="0"/>
            <wp:docPr descr="" title="" id="94" name="Picture"/>
            <a:graphic>
              <a:graphicData uri="http://schemas.openxmlformats.org/drawingml/2006/picture">
                <pic:pic>
                  <pic:nvPicPr>
                    <pic:cNvPr descr="images/003_section_undefined-section-3/016_section_undefined-section-16/018_section_Sildenafil_HI/15_time_profile_plot_Sildenafil_Muirhead2002_CPA_Population.png" id="95" name="Picture"/>
                    <pic:cNvPicPr>
                      <a:picLocks noChangeArrowheads="1" noChangeAspect="1"/>
                    </pic:cNvPicPr>
                  </pic:nvPicPr>
                  <pic:blipFill>
                    <a:blip r:embed="rId9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3-15: Muirhead 2002, Sildenafil PO 50 mg</w:t>
      </w:r>
    </w:p>
    <w:p>
      <w:pPr>
        <w:pStyle w:val="BodyText"/>
      </w:pPr>
      <w:r>
        <w:t xml:space="preserve"> </w:t>
      </w:r>
    </w:p>
    <w:br w:type="page"/>
    <w:p>
      <w:pPr>
        <w:pStyle w:val="BodyText"/>
      </w:pPr>
      <w:bookmarkStart w:id="figure-3-16" w:name="figure-3-16"/>
      <w:bookmarkEnd w:id="figure-3-16"/>
    </w:p>
    <w:p>
      <w:pPr>
        <w:pStyle w:val="BodyText"/>
      </w:pPr>
      <w:r>
        <w:drawing>
          <wp:inline>
            <wp:extent cx="5969000" cy="4183075"/>
            <wp:effectExtent b="0" l="0" r="0" t="0"/>
            <wp:docPr descr="" title="" id="97" name="Picture"/>
            <a:graphic>
              <a:graphicData uri="http://schemas.openxmlformats.org/drawingml/2006/picture">
                <pic:pic>
                  <pic:nvPicPr>
                    <pic:cNvPr descr="images/003_section_undefined-section-3/016_section_undefined-section-16/018_section_Sildenafil_HI/16_time_profile_plot_Sildenafil_Muirhead2002_CPB_Population.png" id="98" name="Picture"/>
                    <pic:cNvPicPr>
                      <a:picLocks noChangeArrowheads="1" noChangeAspect="1"/>
                    </pic:cNvPicPr>
                  </pic:nvPicPr>
                  <pic:blipFill>
                    <a:blip r:embed="rId9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3-16: Muirhead 2002, Sildenafil PO 50 mg</w:t>
      </w:r>
    </w:p>
    <w:p>
      <w:pPr>
        <w:pStyle w:val="BodyText"/>
      </w:pPr>
      <w:r>
        <w:t xml:space="preserve"> </w:t>
      </w:r>
    </w:p>
    <w:bookmarkEnd w:id="99"/>
    <w:bookmarkEnd w:id="100"/>
    <w:bookmarkEnd w:id="101"/>
    <w:bookmarkStart w:id="112" w:name="theophylline"/>
    <w:p>
      <w:pPr>
        <w:pStyle w:val="Heading2"/>
      </w:pPr>
      <w:r>
        <w:t xml:space="preserve">Theophylline</w:t>
      </w:r>
      <w:r>
        <w:t xml:space="preserve"> </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3"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02"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2"/>
    <w:bookmarkEnd w:id="103"/>
    <w:bookmarkStart w:id="111" w:name="theophylline-in-a-hi-population"/>
    <w:p>
      <w:pPr>
        <w:pStyle w:val="Heading3"/>
      </w:pPr>
      <w:r>
        <w:t xml:space="preserve">Theophylline in a HI Population</w:t>
      </w:r>
      <w:r>
        <w:t xml:space="preserve"> </w:t>
      </w:r>
      <w:bookmarkStart w:id="theophylline_hi" w:name="theophylline_hi"/>
      <w:bookmarkEnd w:id="theophylline_hi"/>
    </w:p>
    <w:bookmarkStart w:id="110"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75254"/>
            <wp:effectExtent b="0" l="0" r="0" t="0"/>
            <wp:docPr descr="" title="" id="105" name="Picture"/>
            <a:graphic>
              <a:graphicData uri="http://schemas.openxmlformats.org/drawingml/2006/picture">
                <pic:pic>
                  <pic:nvPicPr>
                    <pic:cNvPr descr="images/003_section_undefined-section-3/019_section_undefined-section-19/021_section_Theophylline_HI/17_time_profile_plot_Theophylline_Froomes1981_CPB_Population.png" id="106" name="Picture"/>
                    <pic:cNvPicPr>
                      <a:picLocks noChangeArrowheads="1" noChangeAspect="1"/>
                    </pic:cNvPicPr>
                  </pic:nvPicPr>
                  <pic:blipFill>
                    <a:blip r:embed="rId104"/>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75254"/>
            <wp:effectExtent b="0" l="0" r="0" t="0"/>
            <wp:docPr descr="" title="" id="108" name="Picture"/>
            <a:graphic>
              <a:graphicData uri="http://schemas.openxmlformats.org/drawingml/2006/picture">
                <pic:pic>
                  <pic:nvPicPr>
                    <pic:cNvPr descr="images/003_section_undefined-section-3/019_section_undefined-section-19/021_section_Theophylline_HI/18_time_profile_plot_Theophylline_Froomes1981_CPC_Population.png" id="109" name="Picture"/>
                    <pic:cNvPicPr>
                      <a:picLocks noChangeArrowheads="1" noChangeAspect="1"/>
                    </pic:cNvPicPr>
                  </pic:nvPicPr>
                  <pic:blipFill>
                    <a:blip r:embed="rId107"/>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0"/>
    <w:bookmarkEnd w:id="111"/>
    <w:bookmarkEnd w:id="112"/>
    <w:bookmarkStart w:id="117" w:name="lidocaine"/>
    <w:p>
      <w:pPr>
        <w:pStyle w:val="Heading2"/>
      </w:pPr>
      <w:r>
        <w:t xml:space="preserve">Lidocaine</w:t>
      </w:r>
      <w:r>
        <w:t xml:space="preserve"> </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4" w:name="lidocaine-in-a-healthy-population"/>
    <w:p>
      <w:pPr>
        <w:pStyle w:val="Heading3"/>
      </w:pPr>
      <w:r>
        <w:t xml:space="preserve">Lidocaine in a Healthy Population</w:t>
      </w:r>
      <w:r>
        <w:t xml:space="preserve"> </w:t>
      </w:r>
      <w:bookmarkStart w:id="lidocaine_healthy" w:name="lidocaine_healthy"/>
      <w:bookmarkEnd w:id="lidocaine_healthy"/>
    </w:p>
    <w:bookmarkStart w:id="113"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disolve 50%, 90%, and 100% tablet strength, respectively (25).</w:t>
      </w:r>
    </w:p>
    <w:bookmarkEnd w:id="113"/>
    <w:bookmarkEnd w:id="114"/>
    <w:bookmarkStart w:id="116" w:name="lidocaine-in-a-hi-population"/>
    <w:p>
      <w:pPr>
        <w:pStyle w:val="Heading3"/>
      </w:pPr>
      <w:r>
        <w:t xml:space="preserve">Lidocaine in a HI Population</w:t>
      </w:r>
      <w:r>
        <w:t xml:space="preserve"> </w:t>
      </w:r>
      <w:bookmarkStart w:id="lidocaine_hi" w:name="lidocaine_hi"/>
      <w:bookmarkEnd w:id="lidocaine_hi"/>
    </w:p>
    <w:bookmarkStart w:id="115"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ookmarkEnd w:id="115"/>
    <w:bookmarkEnd w:id="116"/>
    <w:bookmarkEnd w:id="117"/>
    <w:bookmarkEnd w:id="118"/>
    <w:bookmarkStart w:id="119" w:name="references"/>
    <w:p>
      <w:pPr>
        <w:pStyle w:val="Heading1"/>
      </w:pPr>
      <w:r>
        <w:t xml:space="preserve">References</w:t>
      </w:r>
      <w:r>
        <w:t xml:space="preserve"> </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 https://github.com/Open-Systems-Pharmacology/Alfentanil-Model.</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 https://github.com/Open-Systems-Pharmacology/Example_Caffeine.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 https://github.com/Open-Systems-Pharmacology/Metoprolol-Model.</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 https://github.com/Open-Systems-Pharmacology/Midazolam-Model.</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w:t>
      </w:r>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 https://github.com/Open-Systems-Pharmacology/Sildenafil-Model.</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 https://github.com/Open-Systems-Pharmacology/Theophylline-Model.</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19"/>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107" Target="media/rId10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2024-06-19T17:36:09Z</dcterms:created>
  <dcterms:modified xsi:type="dcterms:W3CDTF">2024-06-19T17:36:09Z</dcterms:modified>
</cp:coreProperties>
</file>

<file path=docProps/custom.xml><?xml version="1.0" encoding="utf-8"?>
<Properties xmlns="http://schemas.openxmlformats.org/officeDocument/2006/custom-properties" xmlns:vt="http://schemas.openxmlformats.org/officeDocument/2006/docPropsVTypes"/>
</file>